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2093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Frutiger-UltraBlack" w:hAnsi="Frutiger-UltraBlack" w:cs="Frutiger-UltraBlack"/>
          <w:b/>
          <w:bCs/>
          <w:color w:val="000000"/>
          <w:sz w:val="48"/>
          <w:szCs w:val="48"/>
        </w:rPr>
      </w:pPr>
      <w:r>
        <w:rPr>
          <w:rFonts w:ascii="Frutiger-UltraBlack" w:hAnsi="Frutiger-UltraBlack" w:cs="Frutiger-UltraBlack"/>
          <w:b/>
          <w:bCs/>
          <w:color w:val="000000"/>
          <w:sz w:val="48"/>
          <w:szCs w:val="48"/>
        </w:rPr>
        <w:t>BMC Neuroscience</w:t>
      </w:r>
    </w:p>
    <w:p w14:paraId="6221940C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b/>
          <w:bCs/>
          <w:color w:val="FFFFFF"/>
          <w:sz w:val="23"/>
          <w:szCs w:val="23"/>
        </w:rPr>
      </w:pPr>
      <w:r>
        <w:rPr>
          <w:rFonts w:ascii="GillSans-Light" w:hAnsi="GillSans-Light" w:cs="GillSans-Light"/>
          <w:color w:val="000000"/>
          <w:sz w:val="28"/>
          <w:szCs w:val="28"/>
        </w:rPr>
        <w:t xml:space="preserve">Research article </w:t>
      </w:r>
      <w:r>
        <w:rPr>
          <w:rFonts w:ascii="Helvetica-Black" w:hAnsi="Helvetica-Black" w:cs="Helvetica-Black"/>
          <w:b/>
          <w:bCs/>
          <w:color w:val="FFFFFF"/>
          <w:sz w:val="23"/>
          <w:szCs w:val="23"/>
        </w:rPr>
        <w:t>Open Access</w:t>
      </w:r>
    </w:p>
    <w:p w14:paraId="3D398433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32"/>
          <w:szCs w:val="32"/>
        </w:rPr>
      </w:pPr>
      <w:r>
        <w:rPr>
          <w:rFonts w:ascii="GillSans-Bold" w:hAnsi="GillSans-Bold" w:cs="GillSans-Bold"/>
          <w:b/>
          <w:bCs/>
          <w:color w:val="000000"/>
          <w:sz w:val="32"/>
          <w:szCs w:val="32"/>
        </w:rPr>
        <w:t>Optimizing microsurgical skills with EEG neurofeedback</w:t>
      </w:r>
    </w:p>
    <w:p w14:paraId="62916B52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0"/>
          <w:szCs w:val="30"/>
        </w:rPr>
      </w:pPr>
      <w:r>
        <w:rPr>
          <w:rFonts w:ascii="Giovanni-Book" w:hAnsi="Giovanni-Book" w:cs="Giovanni-Book"/>
          <w:color w:val="000000"/>
          <w:sz w:val="30"/>
          <w:szCs w:val="30"/>
        </w:rPr>
        <w:t>Tomas Ros*</w:t>
      </w:r>
      <w:r>
        <w:rPr>
          <w:rFonts w:ascii="Giovanni-Book" w:hAnsi="Giovanni-Book" w:cs="Giovanni-Book"/>
          <w:color w:val="000000"/>
          <w:sz w:val="21"/>
          <w:szCs w:val="21"/>
        </w:rPr>
        <w:t>1</w:t>
      </w:r>
      <w:r>
        <w:rPr>
          <w:rFonts w:ascii="Giovanni-Book" w:hAnsi="Giovanni-Book" w:cs="Giovanni-Book"/>
          <w:color w:val="000000"/>
          <w:sz w:val="30"/>
          <w:szCs w:val="30"/>
        </w:rPr>
        <w:t>, Merrick J Moseley</w:t>
      </w:r>
      <w:r>
        <w:rPr>
          <w:rFonts w:ascii="Giovanni-Book" w:hAnsi="Giovanni-Book" w:cs="Giovanni-Book"/>
          <w:color w:val="000000"/>
          <w:sz w:val="21"/>
          <w:szCs w:val="21"/>
        </w:rPr>
        <w:t>2</w:t>
      </w:r>
      <w:r>
        <w:rPr>
          <w:rFonts w:ascii="Giovanni-Book" w:hAnsi="Giovanni-Book" w:cs="Giovanni-Book"/>
          <w:color w:val="000000"/>
          <w:sz w:val="30"/>
          <w:szCs w:val="30"/>
        </w:rPr>
        <w:t>, Philip A Bloom</w:t>
      </w:r>
      <w:r>
        <w:rPr>
          <w:rFonts w:ascii="Giovanni-Book" w:hAnsi="Giovanni-Book" w:cs="Giovanni-Book"/>
          <w:color w:val="000000"/>
          <w:sz w:val="21"/>
          <w:szCs w:val="21"/>
        </w:rPr>
        <w:t>3</w:t>
      </w:r>
      <w:r>
        <w:rPr>
          <w:rFonts w:ascii="Giovanni-Book" w:hAnsi="Giovanni-Book" w:cs="Giovanni-Book"/>
          <w:color w:val="000000"/>
          <w:sz w:val="30"/>
          <w:szCs w:val="30"/>
        </w:rPr>
        <w:t>, Larry Benjamin</w:t>
      </w:r>
      <w:r>
        <w:rPr>
          <w:rFonts w:ascii="Giovanni-Book" w:hAnsi="Giovanni-Book" w:cs="Giovanni-Book"/>
          <w:color w:val="000000"/>
          <w:sz w:val="21"/>
          <w:szCs w:val="21"/>
        </w:rPr>
        <w:t>4</w:t>
      </w:r>
      <w:r>
        <w:rPr>
          <w:rFonts w:ascii="Giovanni-Book" w:hAnsi="Giovanni-Book" w:cs="Giovanni-Book"/>
          <w:color w:val="000000"/>
          <w:sz w:val="30"/>
          <w:szCs w:val="30"/>
        </w:rPr>
        <w:t>,</w:t>
      </w:r>
    </w:p>
    <w:p w14:paraId="7FCF1DF9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21"/>
          <w:szCs w:val="21"/>
        </w:rPr>
      </w:pPr>
      <w:r>
        <w:rPr>
          <w:rFonts w:ascii="Giovanni-Book" w:hAnsi="Giovanni-Book" w:cs="Giovanni-Book"/>
          <w:color w:val="000000"/>
          <w:sz w:val="30"/>
          <w:szCs w:val="30"/>
        </w:rPr>
        <w:t>Lesley A Parkinson</w:t>
      </w:r>
      <w:r>
        <w:rPr>
          <w:rFonts w:ascii="Giovanni-Book" w:hAnsi="Giovanni-Book" w:cs="Giovanni-Book"/>
          <w:color w:val="000000"/>
          <w:sz w:val="21"/>
          <w:szCs w:val="21"/>
        </w:rPr>
        <w:t xml:space="preserve">5 </w:t>
      </w:r>
      <w:r>
        <w:rPr>
          <w:rFonts w:ascii="Giovanni-Book" w:hAnsi="Giovanni-Book" w:cs="Giovanni-Book"/>
          <w:color w:val="000000"/>
          <w:sz w:val="30"/>
          <w:szCs w:val="30"/>
        </w:rPr>
        <w:t>and John H Gruzelier</w:t>
      </w:r>
      <w:r>
        <w:rPr>
          <w:rFonts w:ascii="Giovanni-Book" w:hAnsi="Giovanni-Book" w:cs="Giovanni-Book"/>
          <w:color w:val="000000"/>
          <w:sz w:val="21"/>
          <w:szCs w:val="21"/>
        </w:rPr>
        <w:t>1</w:t>
      </w:r>
    </w:p>
    <w:p w14:paraId="47BDDCF5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 xml:space="preserve">Address: </w:t>
      </w:r>
      <w:r>
        <w:rPr>
          <w:rFonts w:ascii="Giovanni-Book" w:hAnsi="Giovanni-Book" w:cs="Giovanni-Book"/>
          <w:color w:val="000000"/>
          <w:sz w:val="11"/>
          <w:szCs w:val="11"/>
        </w:rPr>
        <w:t>1</w:t>
      </w:r>
      <w:r>
        <w:rPr>
          <w:rFonts w:ascii="Giovanni-Book" w:hAnsi="Giovanni-Book" w:cs="Giovanni-Book"/>
          <w:color w:val="000000"/>
          <w:sz w:val="16"/>
          <w:szCs w:val="16"/>
        </w:rPr>
        <w:t xml:space="preserve">Department of Psychology, Goldsmiths, University of London, London, UK, </w:t>
      </w:r>
      <w:r>
        <w:rPr>
          <w:rFonts w:ascii="Giovanni-Book" w:hAnsi="Giovanni-Book" w:cs="Giovanni-Book"/>
          <w:color w:val="000000"/>
          <w:sz w:val="11"/>
          <w:szCs w:val="11"/>
        </w:rPr>
        <w:t>2</w:t>
      </w:r>
      <w:r>
        <w:rPr>
          <w:rFonts w:ascii="Giovanni-Book" w:hAnsi="Giovanni-Book" w:cs="Giovanni-Book"/>
          <w:color w:val="000000"/>
          <w:sz w:val="16"/>
          <w:szCs w:val="16"/>
        </w:rPr>
        <w:t>Department of Optometry and Visual Science, City</w:t>
      </w:r>
    </w:p>
    <w:p w14:paraId="59D27473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 xml:space="preserve">University, London, UK, </w:t>
      </w:r>
      <w:r>
        <w:rPr>
          <w:rFonts w:ascii="Giovanni-Book" w:hAnsi="Giovanni-Book" w:cs="Giovanni-Book"/>
          <w:color w:val="000000"/>
          <w:sz w:val="11"/>
          <w:szCs w:val="11"/>
        </w:rPr>
        <w:t>3</w:t>
      </w:r>
      <w:r>
        <w:rPr>
          <w:rFonts w:ascii="Giovanni-Book" w:hAnsi="Giovanni-Book" w:cs="Giovanni-Book"/>
          <w:color w:val="000000"/>
          <w:sz w:val="16"/>
          <w:szCs w:val="16"/>
        </w:rPr>
        <w:t xml:space="preserve">Western Eye Hospital, London, UK, </w:t>
      </w:r>
      <w:r>
        <w:rPr>
          <w:rFonts w:ascii="Giovanni-Book" w:hAnsi="Giovanni-Book" w:cs="Giovanni-Book"/>
          <w:color w:val="000000"/>
          <w:sz w:val="11"/>
          <w:szCs w:val="11"/>
        </w:rPr>
        <w:t>4</w:t>
      </w:r>
      <w:r>
        <w:rPr>
          <w:rFonts w:ascii="Giovanni-Book" w:hAnsi="Giovanni-Book" w:cs="Giovanni-Book"/>
          <w:color w:val="000000"/>
          <w:sz w:val="16"/>
          <w:szCs w:val="16"/>
        </w:rPr>
        <w:t xml:space="preserve">Department of Ophthalmology, Stoke Mandeville Hospital, </w:t>
      </w:r>
      <w:proofErr w:type="spellStart"/>
      <w:r>
        <w:rPr>
          <w:rFonts w:ascii="Giovanni-Book" w:hAnsi="Giovanni-Book" w:cs="Giovanni-Book"/>
          <w:color w:val="000000"/>
          <w:sz w:val="16"/>
          <w:szCs w:val="16"/>
        </w:rPr>
        <w:t>Aylesbury</w:t>
      </w:r>
      <w:proofErr w:type="spellEnd"/>
      <w:r>
        <w:rPr>
          <w:rFonts w:ascii="Giovanni-Book" w:hAnsi="Giovanni-Book" w:cs="Giovanni-Book"/>
          <w:color w:val="000000"/>
          <w:sz w:val="16"/>
          <w:szCs w:val="16"/>
        </w:rPr>
        <w:t>, UK and</w:t>
      </w:r>
    </w:p>
    <w:p w14:paraId="79CA4A9F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1"/>
          <w:szCs w:val="11"/>
        </w:rPr>
        <w:t>5</w:t>
      </w:r>
      <w:r>
        <w:rPr>
          <w:rFonts w:ascii="Giovanni-Book" w:hAnsi="Giovanni-Book" w:cs="Giovanni-Book"/>
          <w:color w:val="000000"/>
          <w:sz w:val="16"/>
          <w:szCs w:val="16"/>
        </w:rPr>
        <w:t>Brainhealth, The Diagnostic Clinic, London, UK</w:t>
      </w:r>
    </w:p>
    <w:p w14:paraId="609DB6B6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>Email: Tomas Ros* - t.ros@gold.ac.uk; Merrick J Moseley - m.j.moseley@city.ac.uk; Philip A Bloom - philipbloom@zoo.co.uk;</w:t>
      </w:r>
    </w:p>
    <w:p w14:paraId="1D775530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>Larry Benjamin - larry.benjamin@btopenworld.com; Lesley A Parkinson - lesleyparkinsoncp@hotmail.com;</w:t>
      </w:r>
    </w:p>
    <w:p w14:paraId="060BC997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 xml:space="preserve">John H </w:t>
      </w:r>
      <w:proofErr w:type="spellStart"/>
      <w:r>
        <w:rPr>
          <w:rFonts w:ascii="Giovanni-Book" w:hAnsi="Giovanni-Book" w:cs="Giovanni-Book"/>
          <w:color w:val="000000"/>
          <w:sz w:val="16"/>
          <w:szCs w:val="16"/>
        </w:rPr>
        <w:t>Gruzelier</w:t>
      </w:r>
      <w:proofErr w:type="spellEnd"/>
      <w:r>
        <w:rPr>
          <w:rFonts w:ascii="Giovanni-Book" w:hAnsi="Giovanni-Book" w:cs="Giovanni-Book"/>
          <w:color w:val="000000"/>
          <w:sz w:val="16"/>
          <w:szCs w:val="16"/>
        </w:rPr>
        <w:t xml:space="preserve"> - j.gruzelier@gold.ac.uk</w:t>
      </w:r>
    </w:p>
    <w:p w14:paraId="0D414D59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16"/>
          <w:szCs w:val="16"/>
        </w:rPr>
      </w:pPr>
      <w:r>
        <w:rPr>
          <w:rFonts w:ascii="Giovanni-Book" w:hAnsi="Giovanni-Book" w:cs="Giovanni-Book"/>
          <w:color w:val="000000"/>
          <w:sz w:val="16"/>
          <w:szCs w:val="16"/>
        </w:rPr>
        <w:t>* Corresponding author</w:t>
      </w:r>
    </w:p>
    <w:p w14:paraId="1D40F83F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1"/>
          <w:szCs w:val="21"/>
        </w:rPr>
      </w:pPr>
      <w:r>
        <w:rPr>
          <w:rFonts w:ascii="GillSans-Bold" w:hAnsi="GillSans-Bold" w:cs="GillSans-Bold"/>
          <w:b/>
          <w:bCs/>
          <w:color w:val="000000"/>
          <w:sz w:val="21"/>
          <w:szCs w:val="21"/>
        </w:rPr>
        <w:t>Abstract</w:t>
      </w:r>
    </w:p>
    <w:p w14:paraId="6080431B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000000"/>
          <w:sz w:val="19"/>
          <w:szCs w:val="19"/>
        </w:rPr>
        <w:t xml:space="preserve">Background: </w:t>
      </w:r>
      <w:r>
        <w:rPr>
          <w:rFonts w:ascii="GillSans" w:hAnsi="GillSans" w:cs="GillSans"/>
          <w:color w:val="000000"/>
          <w:sz w:val="19"/>
          <w:szCs w:val="19"/>
        </w:rPr>
        <w:t>By enabling individuals to self-regulate their brainwave activity in the field of optimal</w:t>
      </w:r>
    </w:p>
    <w:p w14:paraId="339B41D2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performance in healthy individuals, neurofeedback has been found to improve cognitive and artistic</w:t>
      </w:r>
    </w:p>
    <w:p w14:paraId="6638D50D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performance. Here we assessed whether two distinct EEG neurofeedback protocols could develop</w:t>
      </w:r>
    </w:p>
    <w:p w14:paraId="2D5243AB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surgical skill, given the important role this skill plays in medicine.</w:t>
      </w:r>
    </w:p>
    <w:p w14:paraId="47FAB8D5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000000"/>
          <w:sz w:val="19"/>
          <w:szCs w:val="19"/>
        </w:rPr>
        <w:t xml:space="preserve">Results: </w:t>
      </w:r>
      <w:r>
        <w:rPr>
          <w:rFonts w:ascii="GillSans" w:hAnsi="GillSans" w:cs="GillSans"/>
          <w:color w:val="000000"/>
          <w:sz w:val="19"/>
          <w:szCs w:val="19"/>
        </w:rPr>
        <w:t>National Health Service trainee ophthalmic microsurgeons (N = 20) were randomly</w:t>
      </w:r>
    </w:p>
    <w:p w14:paraId="7891A8AE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assigned to either Sensory Motor Rhythm-Theta (SMR) or Alpha-Theta (AT) groups, a randomized</w:t>
      </w:r>
    </w:p>
    <w:p w14:paraId="07010B3C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subset of which were also part of a wait-list 'no-treatment' control group (N = 8). Neurofeedback</w:t>
      </w:r>
    </w:p>
    <w:p w14:paraId="4E189F30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groups received eight 30-minute sessions of EEG training. Pre-post assessment included a skills lab</w:t>
      </w:r>
    </w:p>
    <w:p w14:paraId="219FDC97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surgical procedure with timed measures and expert ratings from video-recordings by consultant</w:t>
      </w:r>
    </w:p>
    <w:p w14:paraId="0CDE52C4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surgeons, together with state/trait anxiety self-reports. SMR training demonstrated advantages</w:t>
      </w:r>
    </w:p>
    <w:p w14:paraId="4819EEBD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absent in the control group, with improvements in surgical skill according to 1) the expert ratings:</w:t>
      </w:r>
    </w:p>
    <w:p w14:paraId="25E891B8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overall technique (d = 0.6, p &lt; 0.03) and suture task (d = 0.9, p &lt; 0.02) (judges' intraclass correlation</w:t>
      </w:r>
    </w:p>
    <w:p w14:paraId="662AF724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coefficient = 0.85); and 2) with overall time on task (d = 0.5, p = 0.02), while everyday anxiety (trait)</w:t>
      </w:r>
    </w:p>
    <w:p w14:paraId="1957FBDE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decreased (d = 0.5, p &lt; 0.02). Importantly the decrease in surgical task time was strongly associated</w:t>
      </w:r>
    </w:p>
    <w:p w14:paraId="5F663AAE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with SMR EEG training changes (p &lt; 0.01), especially with continued reduction of theta (4–7 Hz)</w:t>
      </w:r>
    </w:p>
    <w:p w14:paraId="6FE6068A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power. AT training produced marginal improvements in technique and overall performance time,</w:t>
      </w:r>
    </w:p>
    <w:p w14:paraId="6695DA76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which were accompanied by a standard error indicative of large individual differences.</w:t>
      </w:r>
    </w:p>
    <w:p w14:paraId="1DEAC44D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Notwithstanding, successful within session elevation of the theta-alpha ratio correlated positively</w:t>
      </w:r>
    </w:p>
    <w:p w14:paraId="527972DF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with improvements in overall technique (r = 0.64, p = 0.047).</w:t>
      </w:r>
    </w:p>
    <w:p w14:paraId="1838B7FF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000000"/>
          <w:sz w:val="19"/>
          <w:szCs w:val="19"/>
        </w:rPr>
        <w:t xml:space="preserve">Conclusion: </w:t>
      </w:r>
      <w:r>
        <w:rPr>
          <w:rFonts w:ascii="GillSans" w:hAnsi="GillSans" w:cs="GillSans"/>
          <w:color w:val="000000"/>
          <w:sz w:val="19"/>
          <w:szCs w:val="19"/>
        </w:rPr>
        <w:t>SMR-Theta neurofeedback training provided significant improvement in surgical</w:t>
      </w:r>
    </w:p>
    <w:p w14:paraId="52F76317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technique whilst considerably reducing time on task by 26%. There was also evidence that AT</w:t>
      </w:r>
    </w:p>
    <w:p w14:paraId="77A13EB2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>training marginally reduced total surgery time, despite suboptimal training efficacies. Overall, the</w:t>
      </w:r>
    </w:p>
    <w:p w14:paraId="7FEF2E98" w14:textId="77777777" w:rsidR="00D939DE" w:rsidRDefault="00D939DE" w:rsidP="00D939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" w:hAnsi="GillSans" w:cs="GillSans"/>
          <w:color w:val="000000"/>
          <w:sz w:val="19"/>
          <w:szCs w:val="19"/>
        </w:rPr>
        <w:t xml:space="preserve">data set provides encouraging evidence of </w:t>
      </w:r>
      <w:proofErr w:type="spellStart"/>
      <w:r>
        <w:rPr>
          <w:rFonts w:ascii="GillSans" w:hAnsi="GillSans" w:cs="GillSans"/>
          <w:color w:val="000000"/>
          <w:sz w:val="19"/>
          <w:szCs w:val="19"/>
        </w:rPr>
        <w:t>optimised</w:t>
      </w:r>
      <w:proofErr w:type="spellEnd"/>
      <w:r>
        <w:rPr>
          <w:rFonts w:ascii="GillSans" w:hAnsi="GillSans" w:cs="GillSans"/>
          <w:color w:val="000000"/>
          <w:sz w:val="19"/>
          <w:szCs w:val="19"/>
        </w:rPr>
        <w:t xml:space="preserve"> learning of a complex medical specialty via</w:t>
      </w:r>
    </w:p>
    <w:p w14:paraId="15DB67D8" w14:textId="77777777" w:rsidR="009E279D" w:rsidRDefault="00D939DE" w:rsidP="00D939DE">
      <w:r>
        <w:rPr>
          <w:rFonts w:ascii="GillSans" w:hAnsi="GillSans" w:cs="GillSans"/>
          <w:color w:val="000000"/>
          <w:sz w:val="19"/>
          <w:szCs w:val="19"/>
        </w:rPr>
        <w:t>neurofeedback training.</w:t>
      </w:r>
      <w:bookmarkStart w:id="0" w:name="_GoBack"/>
      <w:bookmarkEnd w:id="0"/>
    </w:p>
    <w:sectPr w:rsidR="009E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Ul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ovan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DE"/>
    <w:rsid w:val="009E279D"/>
    <w:rsid w:val="00C92296"/>
    <w:rsid w:val="00D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32E4"/>
  <w15:chartTrackingRefBased/>
  <w15:docId w15:val="{A31E86CE-36A3-4DDF-AFEE-34FD6F9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Ricoissimo</dc:creator>
  <cp:keywords/>
  <dc:description/>
  <cp:lastModifiedBy>Ricoissimo</cp:lastModifiedBy>
  <cp:revision>1</cp:revision>
  <dcterms:created xsi:type="dcterms:W3CDTF">2019-04-29T23:59:00Z</dcterms:created>
  <dcterms:modified xsi:type="dcterms:W3CDTF">2019-04-30T00:00:00Z</dcterms:modified>
</cp:coreProperties>
</file>